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19 115 vom 25. September 2020</w:t>
      </w:r>
    </w:p>
    <w:p>
      <w:r>
        <w:t>VS Kantonsgericht, 2020-09-25, DE</w:t>
      </w:r>
    </w:p>
    <w:p>
      <w:r>
        <w:rPr>
          <w:b/>
        </w:rPr>
        <w:t xml:space="preserve">Quelle: </w:t>
      </w:r>
      <w:r>
        <w:t>https://mcp.opencaselaw.ch/entscheid/vs_gerichte_S2 19 115</w:t>
      </w:r>
    </w:p>
    <w:p>
      <w:r>
        <w:t>FR: VS_GERICHTE S2 19 115 du 25 septembre 2020</w:t>
      </w:r>
    </w:p>
    <w:p>
      <w:r>
        <w:t>IT: VS_GERICHTE S2 19 115 del 25 settembre 2020</w:t>
      </w:r>
    </w:p>
    <w:p>
      <w:pPr>
        <w:pStyle w:val="Heading2"/>
      </w:pPr>
      <w:r>
        <w:t>Regeste</w:t>
      </w:r>
    </w:p>
    <w:p>
      <w:r>
        <w:t>S2 19 115 URTEIL VOM 25. SEPTEMBER 2020 Kantonsgericht Wallis Sozialversicherungsrechtliche Abteilung Besetzung: Dr. Thierry Schnyder, Präsident; Eve-Marie Dayer-Schmid und Thomas Brunner, Kantonsrichter/in; Renata Kreuzer, Gerichtsschreiberin in Sachen X _________, Beschwerdeführer, vertreten durch Rechtsanwalt M _________ gegen SCHWEIZERISCHE UNFALLVERSICHERUNG (SUVA), Beschwerdegegnerin, vertre- ten durch Rechtsanwalt N _________ (Art. 49 Abs. 2 UVV; Leistungskürzung) Beschwerde gegen den Entscheid vom 4. November 2019</w:t>
      </w:r>
    </w:p>
    <w:p>
      <w:pPr>
        <w:pStyle w:val="Heading2"/>
      </w:pPr>
      <w:r>
        <w:t>Erwägungen</w:t>
      </w:r>
    </w:p>
    <w:p>
      <w:r>
        <w:rPr>
          <w:b/>
        </w:rPr>
        <w:t>E. 1.1</w:t>
      </w:r>
    </w:p>
    <w:p>
      <w:r>
        <w:t>Gemäss Art. 1 Abs. 1 des Bundesgesetzes über die Unfallversicherung vom 20. März 1981 (UVG) sind die Bestimmungen des Bundesgesetzes über den Allgemei- nen Teil des Sozialversicherungsrechts vom 6. Oktober 2000 (ATSG) auf das UVG an- wendbar, soweit dieses nicht ausdrücklich etwas anderes bestimmt. Gemäss Art. 56 Abs. 1 ATSG kann gegen Einspracheentscheide innerhalb von 30 Ta- gen nach deren Eröffnung Beschwerde bei einem vom Kanton bestellten Versicherungs- gericht eingereicht werden (Art. 57 ATSG und Art. 60 ATSG). Die am 29. Novem- ber 2019 eingereichte Beschwerde erfolgte fristgerecht.</w:t>
      </w:r>
    </w:p>
    <w:p>
      <w:r>
        <w:rPr>
          <w:b/>
        </w:rPr>
        <w:t>E. 1.2</w:t>
      </w:r>
    </w:p>
    <w:p>
      <w:r>
        <w:t>Der Beschwerdeführer hat seinen Wohnsitz in I _________, weshalb die Sozialver- sicherungsrechtliche Abteilung des Kantonsgerichts gestützt auf Art. 7 Abs. 2 des Ge- setzes über die Rechtspflege vom 11. Februar 2009 (RPflG), Art. 58 Abs. 2 des Bundes- gesetzes vom 6. Oktober 2000 über den Allgemeinen Teil des Sozialversicherungs- rechts (ATSG) i.V.m. Art. 1 Abs. 2 des Verfahrensreglements vom 2. Oktober 2001 (RVG) und Art. 81a des Gesetzes über das Verwaltungsverfahren und die Verwaltungs- rechtspflege vom 6. Oktober 1976 (VVRG) als kantonales Versicherungsgericht für die Behandlung von Beschwerden auf dem Gebiet des Sozialversicherungsrechts zuständig ist (vgl. BGE 127 V 176 E. 2). Er ist durch den Einspracheentscheid vom 4. November 2019 berührt (Art. 59 ATSG) und hat ein schutzwürdiges Interesse an dessen Aufhebung oder Änderung. Er ist somit zur Beschwerde legitimiert. Auf die fristgerecht eingereichte Beschwerde ist einzutreten (Art. 60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t>- 7 -</w:t>
      </w:r>
    </w:p>
    <w:p>
      <w:r>
        <w:rPr>
          <w:b/>
        </w:rPr>
        <w:t>E. 2.2</w:t>
      </w:r>
    </w:p>
    <w:p>
      <w:r>
        <w:t>Das Ereignis vom 3. Februar 2019 ist unstreitig als Nichtberufsunfall zu qualifizieren und begründet als solcher grundsätzlich einen Anspruch auf Leistungen der obligatori- schen Unfallversicherung (Art. 6 Abs. 1 und Art. 8 Abs. 1 UVG i.V.m. Art. 4 ATSG). Streitig und zu prüfen ist, ob die SUVA zu Recht eine Kürzung der Geldleistungen verfügt hat.</w:t>
      </w:r>
    </w:p>
    <w:p>
      <w:r>
        <w:rPr>
          <w:b/>
        </w:rPr>
        <w:t>E. 3.1</w:t>
      </w:r>
    </w:p>
    <w:p>
      <w:r>
        <w:t>Der Bundesrat kann gemäss Art. 39 UVG aussergewöhnliche Gefahren und Wag- nisse bezeichnen, die in der Versicherung der Nichtberufsunfälle zur Verweigerung sämtlicher Leistungen oder zur Kürzung der Geldleistungen führen. Von dieser Kompe- tenzdelegation hat der Bundesrat betreffend aussergewöhnliche Gefahren in Art. 49 UVV Gebrauch gemacht.</w:t>
      </w:r>
    </w:p>
    <w:p>
      <w:r>
        <w:rPr>
          <w:b/>
        </w:rPr>
        <w:t>E. 3.2</w:t>
      </w:r>
    </w:p>
    <w:p>
      <w:r>
        <w:t>Gemäss dem hier interessierenden Art. 49 Abs. 2 der Verordnung über die Unfall- versicherung (UVV) vom 20. Dezember 1982, werden die Geldleistungen mindestens um die Hälfte gekürzt für Nichtberufsunfälle, die sich ereignen u.a. bei: a. Beteiligungen an Raufereien und Schlägereien, es sei denn, der Versicherte sei als Unbeteiligter oder bei Hilfeleistung für einen Wehrlosen durch die Streitenden verletzt worden; b. Gefahren, denen sich der Versicherte dadurch aussetzt, dass er andere stark provoziert.</w:t>
      </w:r>
    </w:p>
    <w:p>
      <w:r>
        <w:rPr>
          <w:b/>
        </w:rPr>
        <w:t>E. 3.3</w:t>
      </w:r>
    </w:p>
    <w:p>
      <w:r>
        <w:t>Der Tatbestand der Beteiligung an Raufereien und Schlägereien im Sinne von Art. 49 Abs. 2 lit. a UVV ist grundsätzlich verschuldensunabhängig konzipiert und weiter gefasst als der Straftatbestand der Beteiligung an einem Raufhandel gemäss Art. 133 StGB. Es genügt, dass das zu sanktionierende Verhalten objektiv gesehen die Gefahr einschliesst, in Tätlichkeiten überzugehen oder solche nach sich zu ziehen, und die ver- sicherte Person dies erkannt hat oder erkennen musste. Der Tatbestand des Art. 49 Abs. 2 lit. a UVV ist daher nicht nur bei der Teilnahme an einer eigentlichen tätlichen Ausei- nandersetzung gegeben. Es ist auch nicht notwendig, dass der Versicherte selbst tätlich geworden ist. Unerheblich ist zudem, aus welchen Motiven er sich beteiligt hat, wer mit einem Wortwechsel oder Tätlichkeiten begonnen hat und welche Wendung die Ereig- nisse in der Folge genommen haben. Entscheidend ist allein, ob die versicherte Person die Gefahr einer tätlichen Auseinandersetzung erkannt hat oder erkennen musste. Eine Leistungskürzung nach Art. 49 Abs. 2 lit. a UVV setzt sodann voraus, dass zwischen dem als Beteiligung an einer Rauferei oder Schlägerei zu qualifizierenden Verhalten und dem Unfall ein natürlicher und adäquater Kausalzusammenhang besteht. Dabei ist auch ein gewisser zeitlicher Konnex notwendig.</w:t>
      </w:r>
    </w:p>
    <w:p>
      <w:r>
        <w:t>- 8 -</w:t>
      </w:r>
    </w:p>
    <w:p>
      <w:r>
        <w:rPr>
          <w:b/>
        </w:rPr>
        <w:t>E. 3.4</w:t>
      </w:r>
    </w:p>
    <w:p>
      <w:r>
        <w:t>Nach der Rechtsprechung kann der Begriff der starken Provokation im Sinne von Art. 49 Abs. 2 lit. b UVV nicht abstrakt definiert werden. Es gilt vielmehr in jedem Einzel- fall unter Berücksichtigung der konkret gegebenen Verhältnisse zu prüfen, ob das bean- standete Verhalten ernsthaft geeignet erscheint, eine gewaltsame Reaktion anderer her- vorzurufen. Eine solche Provokation kann in Worten, Gebärden oder Tätlichkeiten be- stehen. Es kommt nicht darauf an, ob die Reaktion unverhältnismässig ist. Die Provoka- tion muss aber natürlich adäquat kausal für diese sein. Die Annahme einer starken Pro- vokation setzt zudem eine gewisse Unmittelbarkeit der Reaktion des Provozierten vo- raus (Bundesgerichtsurteil 8C_207/2018 vom 18. April 2018 E. 3).</w:t>
      </w:r>
    </w:p>
    <w:p>
      <w:r>
        <w:rPr>
          <w:b/>
        </w:rPr>
        <w:t>E. 4.1</w:t>
      </w:r>
    </w:p>
    <w:p>
      <w:r>
        <w:t>Gemäss Verzeigungsbericht der Kantonspolizei vom 14. März 2019 war es zwischen dem Beschwerdeführer, seinem Neffen F _________ und E _________ zu einer verba- len Auseinandersetzung gekommen. Dies wird durch die Einvernahmeprotokolle bestä- tigt. X _________ sagte aus, er habe dem Sicherheitsbeamten gesagt, dass er «nicht so dumm machen solle». Er gab auch an, alkoholisiert gewesen zu sein. F _________ gab zu Protokoll, die Diskussion habe sich vor allem zwischen dem Sicherheitsbeamten und seinem Onkel abgespielt. Er habe sich etwas abseits gehalten und nicht verstanden, was die beiden zueinander gesagt hätten. Die Situation sei aber sicher angespannt ge- wesen. Er sei auch alkoholisiert gewesen, sein Onkel aber stärker, was man an seinem schwankenden Gang erkannt habe. Gemäss E _________, der als beschuldigte Person befragt wurde, hatten X _________ und F _________ sich ihm gegenüber laut, aggres- siv und respektlos verhalten.</w:t>
      </w:r>
    </w:p>
    <w:p>
      <w:r>
        <w:rPr>
          <w:b/>
        </w:rPr>
        <w:t>E. 4.2</w:t>
      </w:r>
    </w:p>
    <w:p>
      <w:r>
        <w:t>Damit steht fest, dass dem tätlichen Angriff, ganz gleich von wem er ausging, eine verbale Auseinandersetzung vorausgegangen ist. In Anbetracht der Tatsache, dass der durchgeführte Atemlufttest beim Beschwerdeführer einen Blutalkoholgehalt von 0.73 mg/l ergeben hatte, sein Gang schwankend war und er sicher nicht die Absicht hatte, sich mit seinen eigenen Aussagen, wonach er dem Sicherheitsmann gesagt habe, dass er «nicht so dumm machen solle» zu stark selber zu belasten, ist durchaus eine gewisse Aggressivität der Auseinandersetzung anzunehmen. Dies bestätigte auch F _________, der aussagte, die Situation zwischen seinem Onkel und dem Sicherheitsmann sei ange- spannt gewesen. Die Bezirksrichterin von H _________ hielt im Urteil vom 11. Februar 2020 fest, «…Aus diesen Gründen ist das Gericht überzeugt, dass die beiden Privatkläger den Beschul- digten, wie dieser zu Protokoll gab, verbal attackierten und beschimpften, nachdem er sie nicht mit den (teuren) zwanzig Flaschen ziehen lassen wollte… Die Reaktion in der aufgeheizten Stimmung nach dem versuchten Schlag durch F _________ mit einem Faustschlag und dem Beinscherenschritt war unverhält- nismässig, aber nicht übertrieben gewalttätig oder hart. Der Beschwerdeführer handelte aber vorsätzlich.</w:t>
      </w:r>
    </w:p>
    <w:p>
      <w:r>
        <w:t>- 9 - Das Verschulden ist somit in objektiver wie auch subjektiver Hinsicht noch als leicht zu werten und im unte- ren Rahmen anzusetzen. Weiter ist der Notwehrexzess strafmildernd zu berücksichtigen und die Strafe um ca. 1/3 zu reduzieren…» Zweifellos wäre es dem Beschwerdeführer möglich gewesen, das Fest ohne die Glasflaschen zu verlassen und damit die Konfrontation zu vermeiden. Er hätte erkennen müssen, dass sein Einlassen auf die verbale Auseinandersetzung objek- tiv gesehen die Gefahr einschloss, in Tätlichkeiten überzugehen. Entgegen der Auffas- sung des Beschwerdeführers ist es schnell geschehen, dass auch eine relativ banale Auseinandersetzung – gerade unter Alkoholeinfluss – in Tätlichkeiten mündet, die unter Umständen genauso unverhältnismässig sind, wie die Tatsache, dass es überhaupt zu einer Auseinandersetzung gekommen ist. Gemäss der bundesgerichtlichen Rechtspre- chung ist es dabei irrelevant, worüber gestritten oder diskutiert wird und ob dabei provo- zierende Worte fallen. Massgebend ist, dass der tätlichen eine verbale Auseinanderset- zung vorausging, an welcher sich der Versicherte beteiligte (Bundesgerichtsurteil 8C_223/2017 vom 10. Mai 2017 E. 3.4). Es ist nicht erstellt und wird vom Beschwerde- führer auch nicht geltend gemacht, dass es ihm in keiner Art und Weise möglich gewe- sen wäre, der Auseinandersetzung aus dem Weg zu gehen. Es ist ihm daher vorzuwer- fen, sich auf eine verbale Auseinandersetzung eingelassen zu haben, die das Risiko in sich barg, in Tätlichkeiten auszuarten.</w:t>
      </w:r>
    </w:p>
    <w:p>
      <w:r>
        <w:rPr>
          <w:b/>
        </w:rPr>
        <w:t>E. 4.3</w:t>
      </w:r>
    </w:p>
    <w:p>
      <w:r>
        <w:t>Zusammenfassend ist der natürliche und adäquate Kausalzusammenhang zwi- schen dem Verhalten des Beschwerdeführers und dem Unfall vom 3. Februar 2019 zu bejahen. Die SUVA hat die Geldleistungen zu Recht in Anwendung von Art. 49 Abs. 2 lit. a UVV um 50% gekürzt. Die Beschwerde ist daher abzuweisen.</w:t>
      </w:r>
    </w:p>
    <w:p>
      <w:r>
        <w:rPr>
          <w:b/>
        </w:rPr>
        <w:t>E. 5.1</w:t>
      </w:r>
    </w:p>
    <w:p>
      <w:r>
        <w:t>Gemäss Art. 61 lit. g ATSG hat einzig der obsiegende Beschwerdeführer Anspruch auf eine Parteientschädigung. Dadurch wird klargestellt, dass dem Beschwerdegegner - d.h. dem Versicherungsträger - kein Parteientschädigungsanspruch zusteht (BGE 123 V 309 E. 10 mit Hinweisen).</w:t>
      </w:r>
    </w:p>
    <w:p>
      <w:r>
        <w:rPr>
          <w:b/>
        </w:rPr>
        <w:t>E. 5.2</w:t>
      </w:r>
    </w:p>
    <w:p>
      <w:r>
        <w:t>Das Verfahren ist, von hier nicht massgebenden Ausnahmen abgesehen, kostenlos (Art. 61 lit. a ATSG).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